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BE" w:rsidRDefault="00B450BE" w:rsidP="00B450BE">
      <w:pPr>
        <w:rPr>
          <w:b/>
          <w:bCs/>
          <w:sz w:val="28"/>
          <w:szCs w:val="28"/>
          <w:u w:val="single"/>
        </w:rPr>
      </w:pPr>
      <w:r w:rsidRPr="00B450BE">
        <w:rPr>
          <w:b/>
          <w:bCs/>
          <w:sz w:val="28"/>
          <w:szCs w:val="28"/>
          <w:u w:val="single"/>
        </w:rPr>
        <w:t>Rozwijanie kompetencji matematycznych u dzieci w wieku przedszkolnym</w:t>
      </w:r>
    </w:p>
    <w:p w:rsidR="00B450BE" w:rsidRDefault="00B450BE" w:rsidP="00B450BE">
      <w:pPr>
        <w:rPr>
          <w:rFonts w:eastAsia="Times New Roman" w:cstheme="minorHAnsi"/>
          <w:b/>
          <w:bCs/>
          <w:color w:val="660000"/>
          <w:sz w:val="24"/>
          <w:szCs w:val="24"/>
          <w:u w:val="single"/>
          <w:lang w:eastAsia="pl-PL"/>
        </w:rPr>
      </w:pPr>
    </w:p>
    <w:p w:rsidR="006627F5" w:rsidRPr="00B450BE" w:rsidRDefault="006627F5" w:rsidP="00B450BE">
      <w:pPr>
        <w:spacing w:after="0" w:line="360" w:lineRule="auto"/>
        <w:jc w:val="both"/>
        <w:rPr>
          <w:b/>
          <w:bCs/>
          <w:sz w:val="28"/>
          <w:szCs w:val="28"/>
          <w:u w:val="single"/>
        </w:rPr>
      </w:pPr>
      <w:r w:rsidRPr="00B450BE">
        <w:rPr>
          <w:rFonts w:eastAsia="Times New Roman" w:cstheme="minorHAnsi"/>
          <w:b/>
          <w:bCs/>
          <w:color w:val="660000"/>
          <w:sz w:val="24"/>
          <w:szCs w:val="24"/>
          <w:lang w:eastAsia="pl-PL"/>
        </w:rPr>
        <w:t>Dziecięce liczenie.</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Podstawą tej kompetencji są pewne intuicje matematyczne, które w toku rozwoju dziecka kształtowane są bardzo wcześnie i jak wynika z</w:t>
      </w:r>
      <w:r w:rsidR="00B450BE">
        <w:rPr>
          <w:rFonts w:eastAsia="Times New Roman" w:cstheme="minorHAnsi"/>
          <w:sz w:val="24"/>
          <w:szCs w:val="24"/>
          <w:lang w:eastAsia="pl-PL"/>
        </w:rPr>
        <w:t xml:space="preserve"> licznych</w:t>
      </w:r>
      <w:r w:rsidRPr="00B450BE">
        <w:rPr>
          <w:rFonts w:eastAsia="Times New Roman" w:cstheme="minorHAnsi"/>
          <w:sz w:val="24"/>
          <w:szCs w:val="24"/>
          <w:lang w:eastAsia="pl-PL"/>
        </w:rPr>
        <w:t xml:space="preserve"> badań pojawiają się od okresu niemowlęctwa. Kształtują się przez kilka lat i nim staną się integralną częścią matematyki występują w kilku fazach. W pierwszej kolejności pojawia się opanowanie schematu czynności liczenia oraz ustalanie, gdzie jest więcej lub mniej, a później wyznaczanie wyniku dodawania i odejmowania elementów. Różnice indywidualne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 xml:space="preserve">w opanowaniu tych umiejętności wynikają często z uwarunkowań środowiskowych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i związane są z tym, w jaki sposób dorośli przybliżają dziecku sens liczenia. Dziecięce liczenie jest tym wskaźnikiem w kształtowaniu dojrzałości do uczenia się matematyki, o który najwcześniej dbają dorośli będący w otoczeniu dziecka.</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Warto również zwrócić uwagę, że liczenie wywodzi si</w:t>
      </w:r>
      <w:r w:rsidR="00B450BE">
        <w:rPr>
          <w:rFonts w:eastAsia="Times New Roman" w:cstheme="minorHAnsi"/>
          <w:sz w:val="24"/>
          <w:szCs w:val="24"/>
          <w:lang w:eastAsia="pl-PL"/>
        </w:rPr>
        <w:t>ę</w:t>
      </w:r>
      <w:r w:rsidRPr="00B450BE">
        <w:rPr>
          <w:rFonts w:eastAsia="Times New Roman" w:cstheme="minorHAnsi"/>
          <w:sz w:val="24"/>
          <w:szCs w:val="24"/>
          <w:lang w:eastAsia="pl-PL"/>
        </w:rPr>
        <w:t xml:space="preserve"> z rytmu i gestu wskazywania, co daje początek i stanowi treść ćwiczeń ukierunkowanych na ukształtowanie w umyśle dziecka następujących umiejętności:</w:t>
      </w:r>
    </w:p>
    <w:p w:rsidR="006627F5" w:rsidRPr="00B450BE" w:rsidRDefault="006627F5" w:rsidP="00B450BE">
      <w:pPr>
        <w:numPr>
          <w:ilvl w:val="0"/>
          <w:numId w:val="1"/>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liczenie obiektów i odróżnianie prawidłowego liczenia od błędnego;</w:t>
      </w:r>
    </w:p>
    <w:p w:rsidR="006627F5" w:rsidRPr="00B450BE" w:rsidRDefault="006627F5" w:rsidP="00B450BE">
      <w:pPr>
        <w:numPr>
          <w:ilvl w:val="0"/>
          <w:numId w:val="1"/>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 xml:space="preserve">dodawanie i odejmowanie, najpierw na konkretach, potem na palcach i wreszcie </w:t>
      </w:r>
      <w:r w:rsidR="00B63F6D">
        <w:rPr>
          <w:rFonts w:eastAsia="Times New Roman" w:cstheme="minorHAnsi"/>
          <w:sz w:val="24"/>
          <w:szCs w:val="24"/>
          <w:lang w:eastAsia="pl-PL"/>
        </w:rPr>
        <w:t xml:space="preserve">                 </w:t>
      </w:r>
      <w:bookmarkStart w:id="0" w:name="_GoBack"/>
      <w:bookmarkEnd w:id="0"/>
      <w:r w:rsidRPr="00B450BE">
        <w:rPr>
          <w:rFonts w:eastAsia="Times New Roman" w:cstheme="minorHAnsi"/>
          <w:sz w:val="24"/>
          <w:szCs w:val="24"/>
          <w:lang w:eastAsia="pl-PL"/>
        </w:rPr>
        <w:t>w pamięci;</w:t>
      </w:r>
    </w:p>
    <w:p w:rsidR="006627F5" w:rsidRPr="00B450BE" w:rsidRDefault="006627F5" w:rsidP="00B450BE">
      <w:pPr>
        <w:numPr>
          <w:ilvl w:val="0"/>
          <w:numId w:val="1"/>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ustalenie gdzie jest więcej, a gdzie mniej przedmiotów.</w:t>
      </w:r>
    </w:p>
    <w:p w:rsidR="006627F5" w:rsidRPr="00B450BE" w:rsidRDefault="006627F5" w:rsidP="00B450BE">
      <w:pPr>
        <w:numPr>
          <w:ilvl w:val="0"/>
          <w:numId w:val="1"/>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liczenie na palcach obejmujące trzy fazy: strategię Sum (przy obliczaniu sumy przeliczanie obu składników zaczyna się od 1), strategię Max (zaczynanie od mniejszego składnika i liczenie wszystkiego łącznie)  oraz strategia Min (liczenie od 5 wzwyż aż do uzyskania pożądanej wartości);</w:t>
      </w:r>
    </w:p>
    <w:p w:rsidR="006627F5" w:rsidRPr="00B450BE" w:rsidRDefault="006627F5" w:rsidP="00B450BE">
      <w:pPr>
        <w:numPr>
          <w:ilvl w:val="0"/>
          <w:numId w:val="1"/>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liczenie pamięciowe wykorzystujące wiedzę o liczbach i liczeniu, na które składają się: wydobywanie faktów z pamięci, np. 3 + 5 = 8 oraz dekompozycje, np. 1 + 2 + 5 = 3 + 5 = 8</w:t>
      </w:r>
      <w:r w:rsidR="00B450BE">
        <w:rPr>
          <w:rFonts w:eastAsia="Times New Roman" w:cstheme="minorHAnsi"/>
          <w:sz w:val="24"/>
          <w:szCs w:val="24"/>
          <w:lang w:eastAsia="pl-PL"/>
        </w:rPr>
        <w:t>;</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 xml:space="preserve">W miarę ćwiczenia wymienionych umiejętności dziecko dąży do precyzji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 xml:space="preserve">i zwiększa swoje możliwości poznawcze. Licząc, stara się przestrzegać reguły jeden do jednego: jeden liczony przedmiot, jeden gest wskazywania i jeden wypowiadany liczebnik. Jeżeli dziecko ma okazję do częstego liczenia, szybko zwiększa nie tylko zasób </w:t>
      </w:r>
      <w:r w:rsidRPr="00B450BE">
        <w:rPr>
          <w:rFonts w:eastAsia="Times New Roman" w:cstheme="minorHAnsi"/>
          <w:sz w:val="24"/>
          <w:szCs w:val="24"/>
          <w:lang w:eastAsia="pl-PL"/>
        </w:rPr>
        <w:lastRenderedPageBreak/>
        <w:t>zapamiętywanych liczebników, ale także dbałość o wymienianie ich we właściwej kolejności. Nie przeszkadza mu, że liczone przedmioty nie są ułożone w szeregu, liczy również wtedy, gdy są zgrupowane. Na początku najważniejsze są osobiste doświadczenia dziecka powstające z obserwacji i naśladowania dorosłych przeliczających przedmioty. Dopiero po wielokrotnym poznaniu rytmu liczenia, wymieniając liczebniki</w:t>
      </w:r>
      <w:r w:rsidR="00B450BE">
        <w:rPr>
          <w:rFonts w:eastAsia="Times New Roman" w:cstheme="minorHAnsi"/>
          <w:sz w:val="24"/>
          <w:szCs w:val="24"/>
          <w:lang w:eastAsia="pl-PL"/>
        </w:rPr>
        <w:t>,</w:t>
      </w:r>
      <w:r w:rsidRPr="00B450BE">
        <w:rPr>
          <w:rFonts w:eastAsia="Times New Roman" w:cstheme="minorHAnsi"/>
          <w:sz w:val="24"/>
          <w:szCs w:val="24"/>
          <w:lang w:eastAsia="pl-PL"/>
        </w:rPr>
        <w:t>  wie ile jest wszystkich elementów. Taki poziom kompetencji liczenia dziecko osiąga  około piątego roku życia. Najpóźniej zaczyna rozumieć, że wynik liczenia nie zależy od tego, czy liczy „od początku”, czy „od końca”, ważne jest, aby policzyć wszystkie przedmioty</w:t>
      </w:r>
      <w:r w:rsidR="00B450BE">
        <w:rPr>
          <w:rFonts w:eastAsia="Times New Roman" w:cstheme="minorHAnsi"/>
          <w:sz w:val="24"/>
          <w:szCs w:val="24"/>
          <w:lang w:eastAsia="pl-PL"/>
        </w:rPr>
        <w:t>.</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 xml:space="preserve">Dzięki systematycznym ćwiczeniom dziecko sześcioletnie jest w stanie opanować tę umiejętność i przeliczać poszczególne elementy bez względu na sposób ich ułożenia,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a następnie określić liczebność zbioru.</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 xml:space="preserve">Ponadto w kompetencjach składających się na dziecięce liczenie mieści się umiejętność porównywania liczebności dwóch i więcej zbiorów, które można przeprowadzić w dwojaki sposób. Pierwszy sposób polega na przeliczaniu elementów jednego zbioru,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a następnie przeliczaniu elementów drugiego, zapamiętaniu obu liczebników i porównaniu ich. Natomiast drugi sposób polega na ustawianiu obiektów w pary i na tej podstawie stwierdzenie o równoliczności lub różnicach w liczebności zbiorów. Kierując się prawidłowościami rozwojowymi należy stwierdzić, iż druga metoda określana jest jako metoda bardziej dojrzała. Przeliczanie bowiem, pojawia się w toku rozwoju wcześniej i jako forma porównywania liczebności zbiorów jest bardziej prymitywna, ponieważ  występuje tu ryzyko pomyłki, które u dzieci jest wysoko prawdopodobne.</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Kolejnym wskaźnikiem kompetencji dziecięcego liczenia jest umiejętność przestrzegania umowy w grze, gdyż w edukacji matematycznej dzieci ciągle poznają umowy, zasady, do których powinny dostosowywać swoje czynności związane z działalnością matematyczną.</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Ostatnim wskaźnikiem w zakresie kompetencji liczenia jest umiejętność ustalania wyniku dodawania i odejmowania. W początkowej fazie tej umiejętności dziecko jedynie interesuje się zmianą wywołaną dodawaniem lub odejmowaniem, w dalszej kolejności spostrzega, że dodawanie to łączenie, przysuwanie, a odejmowanie to odbieranie.</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Dojrzałość i stopień strategii stosowanych podczas liczenia zależy od doświadczeń matematycznych dziecka. Na strategie dziecięcego liczenia składają się:</w:t>
      </w:r>
    </w:p>
    <w:p w:rsidR="006627F5" w:rsidRPr="00B450BE" w:rsidRDefault="006627F5" w:rsidP="00B81E68">
      <w:pPr>
        <w:spacing w:after="0" w:line="360" w:lineRule="auto"/>
        <w:ind w:firstLine="1134"/>
        <w:jc w:val="both"/>
        <w:rPr>
          <w:rFonts w:eastAsia="Times New Roman" w:cstheme="minorHAnsi"/>
          <w:sz w:val="24"/>
          <w:szCs w:val="24"/>
          <w:lang w:eastAsia="pl-PL"/>
        </w:rPr>
      </w:pPr>
      <w:r w:rsidRPr="00B450BE">
        <w:rPr>
          <w:rFonts w:eastAsia="Times New Roman" w:cstheme="minorHAnsi"/>
          <w:b/>
          <w:bCs/>
          <w:color w:val="660000"/>
          <w:sz w:val="24"/>
          <w:szCs w:val="24"/>
          <w:lang w:eastAsia="pl-PL"/>
        </w:rPr>
        <w:lastRenderedPageBreak/>
        <w:t>Operacyjne rozumowanie</w:t>
      </w:r>
      <w:r w:rsidRPr="00B450BE">
        <w:rPr>
          <w:rFonts w:eastAsia="Times New Roman" w:cstheme="minorHAnsi"/>
          <w:color w:val="660000"/>
          <w:sz w:val="24"/>
          <w:szCs w:val="24"/>
          <w:lang w:eastAsia="pl-PL"/>
        </w:rPr>
        <w:t> </w:t>
      </w:r>
      <w:r w:rsidRPr="00B450BE">
        <w:rPr>
          <w:rFonts w:eastAsia="Times New Roman" w:cstheme="minorHAnsi"/>
          <w:b/>
          <w:bCs/>
          <w:color w:val="660000"/>
          <w:sz w:val="24"/>
          <w:szCs w:val="24"/>
          <w:lang w:eastAsia="pl-PL"/>
        </w:rPr>
        <w:t>na poziomie konkretnym</w:t>
      </w:r>
      <w:r w:rsidRPr="00B450BE">
        <w:rPr>
          <w:rFonts w:eastAsia="Times New Roman" w:cstheme="minorHAnsi"/>
          <w:color w:val="660000"/>
          <w:sz w:val="24"/>
          <w:szCs w:val="24"/>
          <w:lang w:eastAsia="pl-PL"/>
        </w:rPr>
        <w:t>.</w:t>
      </w:r>
      <w:r w:rsidRPr="00B450BE">
        <w:rPr>
          <w:rFonts w:eastAsia="Times New Roman" w:cstheme="minorHAnsi"/>
          <w:sz w:val="24"/>
          <w:szCs w:val="24"/>
          <w:lang w:eastAsia="pl-PL"/>
        </w:rPr>
        <w:t xml:space="preserve"> W trakcie rozwoju operacji konkretnych, które przypadają na ok. 7-11 r.ż., procesy rozumowania stają się bardziej logiczne, czyli stają się w pełni odwracalnym, uwewnętrznionym systemem czynności. W tym stadium, w przeciwieństwie do przedoperacyjnego, dziecko rozwiązuje problemy </w:t>
      </w:r>
      <w:r w:rsidR="00B81E68">
        <w:rPr>
          <w:rFonts w:eastAsia="Times New Roman" w:cstheme="minorHAnsi"/>
          <w:sz w:val="24"/>
          <w:szCs w:val="24"/>
          <w:lang w:eastAsia="pl-PL"/>
        </w:rPr>
        <w:t xml:space="preserve">                    </w:t>
      </w:r>
      <w:r w:rsidRPr="00B450BE">
        <w:rPr>
          <w:rFonts w:eastAsia="Times New Roman" w:cstheme="minorHAnsi"/>
          <w:sz w:val="24"/>
          <w:szCs w:val="24"/>
          <w:lang w:eastAsia="pl-PL"/>
        </w:rPr>
        <w:t xml:space="preserve">z zachowaniem stałości i prawidłowo uzasadnia swoje odpowiedzi. Rozwiązywanie problemów dotyczących </w:t>
      </w:r>
      <w:r w:rsidR="00B81E68">
        <w:rPr>
          <w:rFonts w:eastAsia="Times New Roman" w:cstheme="minorHAnsi"/>
          <w:sz w:val="24"/>
          <w:szCs w:val="24"/>
          <w:lang w:eastAsia="pl-PL"/>
        </w:rPr>
        <w:t>np.</w:t>
      </w:r>
      <w:r w:rsidRPr="00B450BE">
        <w:rPr>
          <w:rFonts w:eastAsia="Times New Roman" w:cstheme="minorHAnsi"/>
          <w:sz w:val="24"/>
          <w:szCs w:val="24"/>
          <w:lang w:eastAsia="pl-PL"/>
        </w:rPr>
        <w:t xml:space="preserve"> liczby, masy, powierzchni, ilości cieczy, ciężaru, ilości ciał stałych opierają </w:t>
      </w:r>
      <w:r w:rsidR="00B81E68">
        <w:rPr>
          <w:rFonts w:eastAsia="Times New Roman" w:cstheme="minorHAnsi"/>
          <w:sz w:val="24"/>
          <w:szCs w:val="24"/>
          <w:lang w:eastAsia="pl-PL"/>
        </w:rPr>
        <w:t xml:space="preserve">się </w:t>
      </w:r>
      <w:r w:rsidRPr="00B450BE">
        <w:rPr>
          <w:rFonts w:eastAsia="Times New Roman" w:cstheme="minorHAnsi"/>
          <w:sz w:val="24"/>
          <w:szCs w:val="24"/>
          <w:lang w:eastAsia="pl-PL"/>
        </w:rPr>
        <w:t>na logicznym rozumowaniu a nie na percepcji. </w:t>
      </w:r>
    </w:p>
    <w:p w:rsidR="00B81E68"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b/>
          <w:bCs/>
          <w:color w:val="660000"/>
          <w:sz w:val="24"/>
          <w:szCs w:val="24"/>
          <w:lang w:eastAsia="pl-PL"/>
        </w:rPr>
        <w:t>Zdolność do odrywania się od konkretów i posługiwania się reprezentacjami symbolicznymi</w:t>
      </w:r>
      <w:r w:rsidRPr="00B450BE">
        <w:rPr>
          <w:rFonts w:eastAsia="Times New Roman" w:cstheme="minorHAnsi"/>
          <w:b/>
          <w:bCs/>
          <w:sz w:val="24"/>
          <w:szCs w:val="24"/>
          <w:lang w:eastAsia="pl-PL"/>
        </w:rPr>
        <w:t> </w:t>
      </w:r>
      <w:r w:rsidRPr="00B450BE">
        <w:rPr>
          <w:rFonts w:eastAsia="Times New Roman" w:cstheme="minorHAnsi"/>
          <w:sz w:val="24"/>
          <w:szCs w:val="24"/>
          <w:lang w:eastAsia="pl-PL"/>
        </w:rPr>
        <w:t>jako kolejny</w:t>
      </w:r>
      <w:r w:rsidRPr="00B450BE">
        <w:rPr>
          <w:rFonts w:eastAsia="Times New Roman" w:cstheme="minorHAnsi"/>
          <w:b/>
          <w:bCs/>
          <w:sz w:val="24"/>
          <w:szCs w:val="24"/>
          <w:lang w:eastAsia="pl-PL"/>
        </w:rPr>
        <w:t> </w:t>
      </w:r>
      <w:r w:rsidRPr="00B450BE">
        <w:rPr>
          <w:rFonts w:eastAsia="Times New Roman" w:cstheme="minorHAnsi"/>
          <w:sz w:val="24"/>
          <w:szCs w:val="24"/>
          <w:lang w:eastAsia="pl-PL"/>
        </w:rPr>
        <w:t xml:space="preserve">wskaźnik dojrzałości do uczenia się matematyki związana jest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 xml:space="preserve">z teorią </w:t>
      </w:r>
      <w:r w:rsidR="00B81E68">
        <w:rPr>
          <w:rFonts w:eastAsia="Times New Roman" w:cstheme="minorHAnsi"/>
          <w:sz w:val="24"/>
          <w:szCs w:val="24"/>
          <w:lang w:eastAsia="pl-PL"/>
        </w:rPr>
        <w:t xml:space="preserve">,że </w:t>
      </w:r>
      <w:r w:rsidRPr="00B450BE">
        <w:rPr>
          <w:rFonts w:eastAsia="Times New Roman" w:cstheme="minorHAnsi"/>
          <w:sz w:val="24"/>
          <w:szCs w:val="24"/>
          <w:lang w:eastAsia="pl-PL"/>
        </w:rPr>
        <w:t xml:space="preserve">dziecko zauważa pewne prawidłowości w toku działania na przedmiotach, które są swoistym doświadczeniem matematycznych czynności manipulacyjnych. W </w:t>
      </w:r>
      <w:r w:rsidR="00B81E68">
        <w:rPr>
          <w:rFonts w:eastAsia="Times New Roman" w:cstheme="minorHAnsi"/>
          <w:sz w:val="24"/>
          <w:szCs w:val="24"/>
          <w:lang w:eastAsia="pl-PL"/>
        </w:rPr>
        <w:t>nich</w:t>
      </w:r>
      <w:r w:rsidRPr="00B450BE">
        <w:rPr>
          <w:rFonts w:eastAsia="Times New Roman" w:cstheme="minorHAnsi"/>
          <w:sz w:val="24"/>
          <w:szCs w:val="24"/>
          <w:lang w:eastAsia="pl-PL"/>
        </w:rPr>
        <w:t xml:space="preserve"> dziecko odkrywa prawidłowości korzystając z materiałów zastępujących przedmioty rzeczywiste występujące w zadaniach matematycznych i tworząc rysunki schematyczne posługuje się np. kółkami, kreskami. W doświadczeniach symbolicznych dziecko ze zrozumieniem opisuje problem matematyczny za pomocą symboli i znaków matematycznych w postaci formuły matematycznej odzwierciedlającej relacje zachodzące między wielkościami w zadaniu. Sprawne funkcjonowanie</w:t>
      </w:r>
      <w:r w:rsidR="00B81E68">
        <w:rPr>
          <w:rFonts w:eastAsia="Times New Roman" w:cstheme="minorHAnsi"/>
          <w:sz w:val="24"/>
          <w:szCs w:val="24"/>
          <w:lang w:eastAsia="pl-PL"/>
        </w:rPr>
        <w:t xml:space="preserve"> dziecka</w:t>
      </w:r>
      <w:r w:rsidRPr="00B450BE">
        <w:rPr>
          <w:rFonts w:eastAsia="Times New Roman" w:cstheme="minorHAnsi"/>
          <w:sz w:val="24"/>
          <w:szCs w:val="24"/>
          <w:lang w:eastAsia="pl-PL"/>
        </w:rPr>
        <w:t xml:space="preserve"> w</w:t>
      </w:r>
      <w:r w:rsidR="00B81E68">
        <w:rPr>
          <w:rFonts w:eastAsia="Times New Roman" w:cstheme="minorHAnsi"/>
          <w:sz w:val="24"/>
          <w:szCs w:val="24"/>
          <w:lang w:eastAsia="pl-PL"/>
        </w:rPr>
        <w:t xml:space="preserve"> tym</w:t>
      </w:r>
      <w:r w:rsidRPr="00B450BE">
        <w:rPr>
          <w:rFonts w:eastAsia="Times New Roman" w:cstheme="minorHAnsi"/>
          <w:sz w:val="24"/>
          <w:szCs w:val="24"/>
          <w:lang w:eastAsia="pl-PL"/>
        </w:rPr>
        <w:t xml:space="preserve"> obrębie </w:t>
      </w:r>
      <w:r w:rsidR="00B81E68">
        <w:rPr>
          <w:rFonts w:eastAsia="Times New Roman" w:cstheme="minorHAnsi"/>
          <w:sz w:val="24"/>
          <w:szCs w:val="24"/>
          <w:lang w:eastAsia="pl-PL"/>
        </w:rPr>
        <w:t xml:space="preserve"> i</w:t>
      </w:r>
      <w:r w:rsidRPr="00B450BE">
        <w:rPr>
          <w:rFonts w:eastAsia="Times New Roman" w:cstheme="minorHAnsi"/>
          <w:sz w:val="24"/>
          <w:szCs w:val="24"/>
          <w:lang w:eastAsia="pl-PL"/>
        </w:rPr>
        <w:t xml:space="preserve"> łatwość przechodzenia z jednej do drugiej są istotnym warunkiem powodzenia w edukacji matematycznej. </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b/>
          <w:bCs/>
          <w:color w:val="660000"/>
          <w:sz w:val="24"/>
          <w:szCs w:val="24"/>
          <w:lang w:eastAsia="pl-PL"/>
        </w:rPr>
        <w:t>Dojrzałość emocjonalna</w:t>
      </w:r>
      <w:r w:rsidRPr="00B450BE">
        <w:rPr>
          <w:rFonts w:eastAsia="Times New Roman" w:cstheme="minorHAnsi"/>
          <w:b/>
          <w:bCs/>
          <w:sz w:val="24"/>
          <w:szCs w:val="24"/>
          <w:lang w:eastAsia="pl-PL"/>
        </w:rPr>
        <w:t> </w:t>
      </w:r>
      <w:r w:rsidRPr="00B450BE">
        <w:rPr>
          <w:rFonts w:eastAsia="Times New Roman" w:cstheme="minorHAnsi"/>
          <w:sz w:val="24"/>
          <w:szCs w:val="24"/>
          <w:lang w:eastAsia="pl-PL"/>
        </w:rPr>
        <w:t xml:space="preserve">stanowi istotny element dojrzałości do uczenia się matematyki. Pokonywanie trudności jest integralną częścią uczenia się matematyki. </w:t>
      </w:r>
      <w:r w:rsidR="00B81E68">
        <w:rPr>
          <w:rFonts w:eastAsia="Times New Roman" w:cstheme="minorHAnsi"/>
          <w:sz w:val="24"/>
          <w:szCs w:val="24"/>
          <w:lang w:eastAsia="pl-PL"/>
        </w:rPr>
        <w:t>I</w:t>
      </w:r>
      <w:r w:rsidRPr="00B450BE">
        <w:rPr>
          <w:rFonts w:eastAsia="Times New Roman" w:cstheme="minorHAnsi"/>
          <w:sz w:val="24"/>
          <w:szCs w:val="24"/>
          <w:lang w:eastAsia="pl-PL"/>
        </w:rPr>
        <w:t>stnieje ścisły związek pomiędzy procesami poznawczymi</w:t>
      </w:r>
      <w:r w:rsidR="00B81E68">
        <w:rPr>
          <w:rFonts w:eastAsia="Times New Roman" w:cstheme="minorHAnsi"/>
          <w:sz w:val="24"/>
          <w:szCs w:val="24"/>
          <w:lang w:eastAsia="pl-PL"/>
        </w:rPr>
        <w:t xml:space="preserve"> </w:t>
      </w:r>
      <w:r w:rsidRPr="00B450BE">
        <w:rPr>
          <w:rFonts w:eastAsia="Times New Roman" w:cstheme="minorHAnsi"/>
          <w:sz w:val="24"/>
          <w:szCs w:val="24"/>
          <w:lang w:eastAsia="pl-PL"/>
        </w:rPr>
        <w:t>i emocjonalnymi</w:t>
      </w:r>
      <w:r w:rsidR="00B81E68">
        <w:rPr>
          <w:rFonts w:eastAsia="Times New Roman" w:cstheme="minorHAnsi"/>
          <w:sz w:val="24"/>
          <w:szCs w:val="24"/>
          <w:lang w:eastAsia="pl-PL"/>
        </w:rPr>
        <w:t>.</w:t>
      </w:r>
      <w:r w:rsidRPr="00B450BE">
        <w:rPr>
          <w:rFonts w:eastAsia="Times New Roman" w:cstheme="minorHAnsi"/>
          <w:sz w:val="24"/>
          <w:szCs w:val="24"/>
          <w:lang w:eastAsia="pl-PL"/>
        </w:rPr>
        <w:t xml:space="preserve"> Jak wynika </w:t>
      </w:r>
      <w:r w:rsidR="00B81E68">
        <w:rPr>
          <w:rFonts w:eastAsia="Times New Roman" w:cstheme="minorHAnsi"/>
          <w:sz w:val="24"/>
          <w:szCs w:val="24"/>
          <w:lang w:eastAsia="pl-PL"/>
        </w:rPr>
        <w:t xml:space="preserve">                                    </w:t>
      </w:r>
      <w:r w:rsidRPr="00B450BE">
        <w:rPr>
          <w:rFonts w:eastAsia="Times New Roman" w:cstheme="minorHAnsi"/>
          <w:sz w:val="24"/>
          <w:szCs w:val="24"/>
          <w:lang w:eastAsia="pl-PL"/>
        </w:rPr>
        <w:t>z</w:t>
      </w:r>
      <w:r w:rsidR="00B81E68">
        <w:rPr>
          <w:rFonts w:eastAsia="Times New Roman" w:cstheme="minorHAnsi"/>
          <w:sz w:val="24"/>
          <w:szCs w:val="24"/>
          <w:lang w:eastAsia="pl-PL"/>
        </w:rPr>
        <w:t xml:space="preserve"> wielu</w:t>
      </w:r>
      <w:r w:rsidRPr="00B450BE">
        <w:rPr>
          <w:rFonts w:eastAsia="Times New Roman" w:cstheme="minorHAnsi"/>
          <w:sz w:val="24"/>
          <w:szCs w:val="24"/>
          <w:lang w:eastAsia="pl-PL"/>
        </w:rPr>
        <w:t xml:space="preserve"> badań  efekty kształcenia są zależne od nastawienia dzieci do zadań i sposobu ich funkcjonowania podczas pracy nad zadaniami. Oprócz nawykowego reagowania obronnego, u dzieci obserwowana jest łatwość poddawania się frustracji. W konsekwencji dzieci nie rozwiązują zadań i blokują się na proces uczenia się, a do najczęściej obserwowanych zachowań należą:</w:t>
      </w:r>
    </w:p>
    <w:p w:rsidR="006627F5" w:rsidRPr="00B450BE" w:rsidRDefault="006627F5" w:rsidP="00B450BE">
      <w:pPr>
        <w:numPr>
          <w:ilvl w:val="0"/>
          <w:numId w:val="3"/>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tendencja do przedłużania części organizacyjnej zajęć;</w:t>
      </w:r>
    </w:p>
    <w:p w:rsidR="006627F5" w:rsidRPr="00B450BE" w:rsidRDefault="006627F5" w:rsidP="00B450BE">
      <w:pPr>
        <w:numPr>
          <w:ilvl w:val="0"/>
          <w:numId w:val="3"/>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ograniczanie aktywności do przepisywania i wierne naśladowanie czynności innych dzieci;</w:t>
      </w:r>
    </w:p>
    <w:p w:rsidR="006627F5" w:rsidRPr="00B450BE" w:rsidRDefault="006627F5" w:rsidP="00B450BE">
      <w:pPr>
        <w:numPr>
          <w:ilvl w:val="0"/>
          <w:numId w:val="3"/>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wolne tempo pracy i jej przerywanie po pierwszych niepowodzeniach;</w:t>
      </w:r>
    </w:p>
    <w:p w:rsidR="006627F5" w:rsidRPr="00B450BE" w:rsidRDefault="006627F5" w:rsidP="00B450BE">
      <w:pPr>
        <w:numPr>
          <w:ilvl w:val="0"/>
          <w:numId w:val="3"/>
        </w:numPr>
        <w:spacing w:before="100" w:beforeAutospacing="1" w:after="100" w:afterAutospacing="1" w:line="360" w:lineRule="auto"/>
        <w:jc w:val="both"/>
        <w:rPr>
          <w:rFonts w:eastAsia="Times New Roman" w:cstheme="minorHAnsi"/>
          <w:sz w:val="24"/>
          <w:szCs w:val="24"/>
          <w:lang w:eastAsia="pl-PL"/>
        </w:rPr>
      </w:pPr>
      <w:r w:rsidRPr="00B450BE">
        <w:rPr>
          <w:rFonts w:eastAsia="Times New Roman" w:cstheme="minorHAnsi"/>
          <w:sz w:val="24"/>
          <w:szCs w:val="24"/>
          <w:lang w:eastAsia="pl-PL"/>
        </w:rPr>
        <w:t>nie podejmowanie dodatkowych czynności pomagających w rozwiązaniu zadania.</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lastRenderedPageBreak/>
        <w:t xml:space="preserve">Dojrzałość emocjonalna wyznacza ogólne ramy poznania intelektualnego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w zakresie edukacji matematycznej.</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b/>
          <w:bCs/>
          <w:color w:val="660000"/>
          <w:sz w:val="24"/>
          <w:szCs w:val="24"/>
          <w:lang w:eastAsia="pl-PL"/>
        </w:rPr>
        <w:t>Zdolność do zintegrowania funkcji percepcyjno – motorycznych.</w:t>
      </w:r>
      <w:r w:rsidRPr="00B450BE">
        <w:rPr>
          <w:rFonts w:eastAsia="Times New Roman" w:cstheme="minorHAnsi"/>
          <w:sz w:val="24"/>
          <w:szCs w:val="24"/>
          <w:lang w:eastAsia="pl-PL"/>
        </w:rPr>
        <w:t xml:space="preserve"> Percepcja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 xml:space="preserve">i motoryka są ściśle ze sobą sprzężone. Powodzenie w uczeniu się matematyki warunkują zdolności syntetyzowania i koordynowania funkcji wzrokowych, słuchowych, dotykowych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i kinestetycznych z funkcjami motorycznymi i ruchowymi.</w:t>
      </w:r>
    </w:p>
    <w:p w:rsidR="006627F5" w:rsidRPr="00B450BE" w:rsidRDefault="006627F5" w:rsidP="00B450BE">
      <w:pPr>
        <w:spacing w:after="0" w:line="360" w:lineRule="auto"/>
        <w:ind w:firstLine="1134"/>
        <w:jc w:val="both"/>
        <w:rPr>
          <w:rFonts w:eastAsia="Times New Roman" w:cstheme="minorHAnsi"/>
          <w:sz w:val="24"/>
          <w:szCs w:val="24"/>
          <w:lang w:eastAsia="pl-PL"/>
        </w:rPr>
      </w:pPr>
      <w:r w:rsidRPr="00B450BE">
        <w:rPr>
          <w:rFonts w:eastAsia="Times New Roman" w:cstheme="minorHAnsi"/>
          <w:sz w:val="24"/>
          <w:szCs w:val="24"/>
          <w:lang w:eastAsia="pl-PL"/>
        </w:rPr>
        <w:t xml:space="preserve">Poszukując odpowiedzi na pytanie, co pomaga a co utrudnia dzieciom rozwijanie zdolności matematycznych w pierwszej kolejności nasuwa się odpowiedź, iż są to indywidualne predyspozycje intelektualne. O ile jest to warunek konieczny do osiągnięcia właściwego poziomu dojrzałości szkolnej, to jednak niewystarczający do tego, aby dziecku zapewnić odpowiedni start szkolny. Szczególną rolę odgrywa w tym środowisko szkolne </w:t>
      </w:r>
      <w:r w:rsidR="00B450BE">
        <w:rPr>
          <w:rFonts w:eastAsia="Times New Roman" w:cstheme="minorHAnsi"/>
          <w:sz w:val="24"/>
          <w:szCs w:val="24"/>
          <w:lang w:eastAsia="pl-PL"/>
        </w:rPr>
        <w:t xml:space="preserve">                     </w:t>
      </w:r>
      <w:r w:rsidRPr="00B450BE">
        <w:rPr>
          <w:rFonts w:eastAsia="Times New Roman" w:cstheme="minorHAnsi"/>
          <w:sz w:val="24"/>
          <w:szCs w:val="24"/>
          <w:lang w:eastAsia="pl-PL"/>
        </w:rPr>
        <w:t>i warunki</w:t>
      </w:r>
      <w:r w:rsidR="00B81E68">
        <w:rPr>
          <w:rFonts w:eastAsia="Times New Roman" w:cstheme="minorHAnsi"/>
          <w:sz w:val="24"/>
          <w:szCs w:val="24"/>
          <w:lang w:eastAsia="pl-PL"/>
        </w:rPr>
        <w:t xml:space="preserve"> </w:t>
      </w:r>
      <w:proofErr w:type="spellStart"/>
      <w:r w:rsidRPr="00B450BE">
        <w:rPr>
          <w:rFonts w:eastAsia="Times New Roman" w:cstheme="minorHAnsi"/>
          <w:sz w:val="24"/>
          <w:szCs w:val="24"/>
          <w:lang w:eastAsia="pl-PL"/>
        </w:rPr>
        <w:t>organizacyjno</w:t>
      </w:r>
      <w:proofErr w:type="spellEnd"/>
      <w:r w:rsidR="00B81E68">
        <w:rPr>
          <w:rFonts w:eastAsia="Times New Roman" w:cstheme="minorHAnsi"/>
          <w:sz w:val="24"/>
          <w:szCs w:val="24"/>
          <w:lang w:eastAsia="pl-PL"/>
        </w:rPr>
        <w:t xml:space="preserve"> </w:t>
      </w:r>
      <w:r w:rsidRPr="00B450BE">
        <w:rPr>
          <w:rFonts w:eastAsia="Times New Roman" w:cstheme="minorHAnsi"/>
          <w:sz w:val="24"/>
          <w:szCs w:val="24"/>
          <w:lang w:eastAsia="pl-PL"/>
        </w:rPr>
        <w:t>– metodyczne oraz osoba nauczyciela, a także środowisko wychowawcze domu rodzinnego dziecka. Oprócz wewnętrznych uwarunkowań niezbędny jest wpływ czynników zewnętrznych, które odpowiednio zorganizowane pomogą stymulować rozwój dziecka na tyle, aby stworzyć mu szanse na pełny rozwój zdolności specjalnych i pomóc w osiągnięciu przez dziecko odpowiedniego stopnia gotowości do uczenia się.</w:t>
      </w:r>
    </w:p>
    <w:p w:rsidR="006627F5" w:rsidRPr="006627F5" w:rsidRDefault="006627F5" w:rsidP="006627F5">
      <w:pPr>
        <w:spacing w:after="0" w:line="360" w:lineRule="auto"/>
        <w:ind w:firstLine="1134"/>
        <w:jc w:val="both"/>
        <w:rPr>
          <w:rFonts w:ascii="Times New Roman" w:eastAsia="Times New Roman" w:hAnsi="Times New Roman" w:cs="Times New Roman"/>
          <w:sz w:val="24"/>
          <w:szCs w:val="24"/>
          <w:lang w:eastAsia="pl-PL"/>
        </w:rPr>
      </w:pPr>
    </w:p>
    <w:p w:rsidR="006627F5" w:rsidRDefault="006627F5" w:rsidP="00B81E68">
      <w:pPr>
        <w:spacing w:after="0" w:line="360" w:lineRule="auto"/>
        <w:jc w:val="both"/>
        <w:rPr>
          <w:rFonts w:ascii="Times New Roman" w:eastAsia="Times New Roman" w:hAnsi="Times New Roman" w:cs="Times New Roman"/>
          <w:sz w:val="24"/>
          <w:szCs w:val="24"/>
          <w:lang w:eastAsia="pl-PL"/>
        </w:rPr>
      </w:pPr>
    </w:p>
    <w:p w:rsidR="00B81E68" w:rsidRPr="006627F5" w:rsidRDefault="00B81E68" w:rsidP="00B81E68">
      <w:pPr>
        <w:spacing w:after="0" w:line="360" w:lineRule="auto"/>
        <w:jc w:val="both"/>
        <w:rPr>
          <w:rFonts w:ascii="Times New Roman" w:eastAsia="Times New Roman" w:hAnsi="Times New Roman" w:cs="Times New Roman"/>
          <w:sz w:val="24"/>
          <w:szCs w:val="24"/>
          <w:lang w:eastAsia="pl-PL"/>
        </w:rPr>
      </w:pPr>
    </w:p>
    <w:p w:rsidR="006627F5" w:rsidRPr="006627F5" w:rsidRDefault="006627F5" w:rsidP="006627F5">
      <w:pPr>
        <w:spacing w:after="0" w:line="360" w:lineRule="auto"/>
        <w:rPr>
          <w:rFonts w:ascii="Times New Roman" w:eastAsia="Times New Roman" w:hAnsi="Times New Roman" w:cs="Times New Roman"/>
          <w:sz w:val="24"/>
          <w:szCs w:val="24"/>
          <w:lang w:eastAsia="pl-PL"/>
        </w:rPr>
      </w:pPr>
      <w:r w:rsidRPr="006627F5">
        <w:rPr>
          <w:rFonts w:ascii="Times New Roman" w:eastAsia="Times New Roman" w:hAnsi="Times New Roman" w:cs="Times New Roman"/>
          <w:sz w:val="20"/>
          <w:szCs w:val="24"/>
          <w:u w:val="single"/>
          <w:lang w:eastAsia="pl-PL"/>
        </w:rPr>
        <w:t>Bibliografia:</w:t>
      </w:r>
    </w:p>
    <w:p w:rsidR="006627F5" w:rsidRPr="006627F5" w:rsidRDefault="006627F5" w:rsidP="006627F5">
      <w:pPr>
        <w:spacing w:after="0" w:line="360" w:lineRule="auto"/>
        <w:ind w:hanging="360"/>
        <w:contextualSpacing/>
        <w:jc w:val="both"/>
        <w:rPr>
          <w:rFonts w:ascii="Times New Roman" w:eastAsia="Times New Roman" w:hAnsi="Times New Roman" w:cs="Times New Roman"/>
          <w:sz w:val="24"/>
          <w:szCs w:val="24"/>
          <w:lang w:eastAsia="pl-PL"/>
        </w:rPr>
      </w:pP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r w:rsidRPr="006627F5">
        <w:rPr>
          <w:rFonts w:ascii="Times New Roman" w:eastAsia="Times New Roman" w:hAnsi="Times New Roman" w:cs="Times New Roman"/>
          <w:sz w:val="14"/>
          <w:szCs w:val="14"/>
          <w:lang w:eastAsia="pl-PL"/>
        </w:rPr>
        <w:t> </w:t>
      </w:r>
      <w:r w:rsidRPr="006627F5">
        <w:rPr>
          <w:rFonts w:ascii="Times New Roman" w:eastAsia="Times New Roman" w:hAnsi="Times New Roman" w:cs="Times New Roman"/>
          <w:sz w:val="20"/>
          <w:szCs w:val="24"/>
          <w:lang w:eastAsia="pl-PL"/>
        </w:rPr>
        <w:t xml:space="preserve">Gruszczyk - Kolczyńska E. (1997) </w:t>
      </w:r>
      <w:r w:rsidRPr="006627F5">
        <w:rPr>
          <w:rFonts w:ascii="Times New Roman" w:eastAsia="Times New Roman" w:hAnsi="Times New Roman" w:cs="Times New Roman"/>
          <w:i/>
          <w:iCs/>
          <w:sz w:val="20"/>
          <w:szCs w:val="24"/>
          <w:lang w:eastAsia="pl-PL"/>
        </w:rPr>
        <w:t xml:space="preserve">Dzieci ze specyficznymi trudnościami w uczeniu się matematyki </w:t>
      </w:r>
      <w:r w:rsidRPr="006627F5">
        <w:rPr>
          <w:rFonts w:ascii="Times New Roman" w:eastAsia="Times New Roman" w:hAnsi="Times New Roman" w:cs="Times New Roman"/>
          <w:sz w:val="20"/>
          <w:szCs w:val="24"/>
          <w:lang w:eastAsia="pl-PL"/>
        </w:rPr>
        <w:t>WSiP, Warszawa</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r w:rsidRPr="006627F5">
        <w:rPr>
          <w:rFonts w:ascii="Times New Roman" w:eastAsia="Times New Roman" w:hAnsi="Times New Roman" w:cs="Times New Roman"/>
          <w:sz w:val="20"/>
          <w:szCs w:val="24"/>
          <w:lang w:eastAsia="pl-PL"/>
        </w:rPr>
        <w:t xml:space="preserve">Gruszczyk - Kolczyńska E. (2009) </w:t>
      </w:r>
      <w:r w:rsidRPr="006627F5">
        <w:rPr>
          <w:rFonts w:ascii="Times New Roman" w:eastAsia="Times New Roman" w:hAnsi="Times New Roman" w:cs="Times New Roman"/>
          <w:i/>
          <w:iCs/>
          <w:sz w:val="20"/>
          <w:szCs w:val="24"/>
          <w:lang w:eastAsia="pl-PL"/>
        </w:rPr>
        <w:t xml:space="preserve">Wspomaganie rozwoju umysłowego oraz edukacja matematyczna w ostatnim roku wychowania przedszkolnego i w pierwszym roku szkolnej edukacji </w:t>
      </w:r>
      <w:r w:rsidRPr="006627F5">
        <w:rPr>
          <w:rFonts w:ascii="Times New Roman" w:eastAsia="Times New Roman" w:hAnsi="Times New Roman" w:cs="Times New Roman"/>
          <w:sz w:val="20"/>
          <w:szCs w:val="24"/>
          <w:lang w:eastAsia="pl-PL"/>
        </w:rPr>
        <w:t>Edukacja Polska, Warszawa</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r w:rsidRPr="006627F5">
        <w:rPr>
          <w:rFonts w:ascii="Times New Roman" w:eastAsia="Times New Roman" w:hAnsi="Times New Roman" w:cs="Times New Roman"/>
          <w:sz w:val="20"/>
          <w:szCs w:val="24"/>
          <w:lang w:eastAsia="pl-PL"/>
        </w:rPr>
        <w:t xml:space="preserve">Michalak R., </w:t>
      </w:r>
      <w:proofErr w:type="spellStart"/>
      <w:r w:rsidRPr="006627F5">
        <w:rPr>
          <w:rFonts w:ascii="Times New Roman" w:eastAsia="Times New Roman" w:hAnsi="Times New Roman" w:cs="Times New Roman"/>
          <w:sz w:val="20"/>
          <w:szCs w:val="24"/>
          <w:lang w:eastAsia="pl-PL"/>
        </w:rPr>
        <w:t>Misiorna</w:t>
      </w:r>
      <w:proofErr w:type="spellEnd"/>
      <w:r w:rsidRPr="006627F5">
        <w:rPr>
          <w:rFonts w:ascii="Times New Roman" w:eastAsia="Times New Roman" w:hAnsi="Times New Roman" w:cs="Times New Roman"/>
          <w:sz w:val="20"/>
          <w:szCs w:val="24"/>
          <w:lang w:eastAsia="pl-PL"/>
        </w:rPr>
        <w:t xml:space="preserve"> E. </w:t>
      </w:r>
      <w:r w:rsidRPr="006627F5">
        <w:rPr>
          <w:rFonts w:ascii="Times New Roman" w:eastAsia="Times New Roman" w:hAnsi="Times New Roman" w:cs="Times New Roman"/>
          <w:i/>
          <w:iCs/>
          <w:sz w:val="20"/>
          <w:szCs w:val="24"/>
          <w:lang w:eastAsia="pl-PL"/>
        </w:rPr>
        <w:t>Konteksty gotowości szkolnej</w:t>
      </w:r>
      <w:r w:rsidRPr="006627F5">
        <w:rPr>
          <w:rFonts w:ascii="Times New Roman" w:eastAsia="Times New Roman" w:hAnsi="Times New Roman" w:cs="Times New Roman"/>
          <w:sz w:val="20"/>
          <w:szCs w:val="24"/>
          <w:lang w:eastAsia="pl-PL"/>
        </w:rPr>
        <w:t xml:space="preserve"> [w:] </w:t>
      </w:r>
      <w:r w:rsidRPr="006627F5">
        <w:rPr>
          <w:rFonts w:ascii="Times New Roman" w:eastAsia="Times New Roman" w:hAnsi="Times New Roman" w:cs="Times New Roman"/>
          <w:i/>
          <w:iCs/>
          <w:sz w:val="20"/>
          <w:szCs w:val="24"/>
          <w:lang w:eastAsia="pl-PL"/>
        </w:rPr>
        <w:t>Doradca nauczyciela sześciolatka</w:t>
      </w:r>
      <w:r w:rsidRPr="006627F5">
        <w:rPr>
          <w:rFonts w:ascii="Times New Roman" w:eastAsia="Times New Roman" w:hAnsi="Times New Roman" w:cs="Times New Roman"/>
          <w:sz w:val="20"/>
          <w:szCs w:val="24"/>
          <w:lang w:eastAsia="pl-PL"/>
        </w:rPr>
        <w:t xml:space="preserve"> CMPPP, Warszawa</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proofErr w:type="spellStart"/>
      <w:r w:rsidRPr="006627F5">
        <w:rPr>
          <w:rFonts w:ascii="Times New Roman" w:eastAsia="Times New Roman" w:hAnsi="Times New Roman" w:cs="Times New Roman"/>
          <w:sz w:val="20"/>
          <w:szCs w:val="24"/>
          <w:lang w:eastAsia="pl-PL"/>
        </w:rPr>
        <w:t>Oszwa</w:t>
      </w:r>
      <w:proofErr w:type="spellEnd"/>
      <w:r w:rsidRPr="006627F5">
        <w:rPr>
          <w:rFonts w:ascii="Times New Roman" w:eastAsia="Times New Roman" w:hAnsi="Times New Roman" w:cs="Times New Roman"/>
          <w:sz w:val="20"/>
          <w:szCs w:val="24"/>
          <w:lang w:eastAsia="pl-PL"/>
        </w:rPr>
        <w:t xml:space="preserve"> U. (2005) </w:t>
      </w:r>
      <w:r w:rsidRPr="006627F5">
        <w:rPr>
          <w:rFonts w:ascii="Times New Roman" w:eastAsia="Times New Roman" w:hAnsi="Times New Roman" w:cs="Times New Roman"/>
          <w:i/>
          <w:iCs/>
          <w:sz w:val="20"/>
          <w:szCs w:val="24"/>
          <w:lang w:eastAsia="pl-PL"/>
        </w:rPr>
        <w:t xml:space="preserve">Zaburzenia rozwoju umiejętności arytmetycznych. Problem diagnozy i terapii </w:t>
      </w:r>
      <w:r w:rsidRPr="006627F5">
        <w:rPr>
          <w:rFonts w:ascii="Times New Roman" w:eastAsia="Times New Roman" w:hAnsi="Times New Roman" w:cs="Times New Roman"/>
          <w:sz w:val="20"/>
          <w:szCs w:val="24"/>
          <w:lang w:eastAsia="pl-PL"/>
        </w:rPr>
        <w:t>Oficyna Wydawnicza IMPULS, Kraków</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proofErr w:type="spellStart"/>
      <w:r w:rsidRPr="006627F5">
        <w:rPr>
          <w:rFonts w:ascii="Times New Roman" w:eastAsia="Times New Roman" w:hAnsi="Times New Roman" w:cs="Times New Roman"/>
          <w:sz w:val="20"/>
          <w:szCs w:val="24"/>
          <w:lang w:eastAsia="pl-PL"/>
        </w:rPr>
        <w:t>Oszwa</w:t>
      </w:r>
      <w:proofErr w:type="spellEnd"/>
      <w:r w:rsidRPr="006627F5">
        <w:rPr>
          <w:rFonts w:ascii="Times New Roman" w:eastAsia="Times New Roman" w:hAnsi="Times New Roman" w:cs="Times New Roman"/>
          <w:sz w:val="20"/>
          <w:szCs w:val="24"/>
          <w:lang w:eastAsia="pl-PL"/>
        </w:rPr>
        <w:t xml:space="preserve"> U. (2006) </w:t>
      </w:r>
      <w:r w:rsidRPr="006627F5">
        <w:rPr>
          <w:rFonts w:ascii="Times New Roman" w:eastAsia="Times New Roman" w:hAnsi="Times New Roman" w:cs="Times New Roman"/>
          <w:i/>
          <w:iCs/>
          <w:sz w:val="20"/>
          <w:szCs w:val="24"/>
          <w:lang w:eastAsia="pl-PL"/>
        </w:rPr>
        <w:t>Rozwój i ocena umiejętności matematycznych dzieci sześcioletnich</w:t>
      </w:r>
      <w:r w:rsidRPr="006627F5">
        <w:rPr>
          <w:rFonts w:ascii="Times New Roman" w:eastAsia="Times New Roman" w:hAnsi="Times New Roman" w:cs="Times New Roman"/>
          <w:sz w:val="20"/>
          <w:szCs w:val="24"/>
          <w:lang w:eastAsia="pl-PL"/>
        </w:rPr>
        <w:t xml:space="preserve"> [w:] </w:t>
      </w:r>
      <w:r w:rsidRPr="006627F5">
        <w:rPr>
          <w:rFonts w:ascii="Times New Roman" w:eastAsia="Times New Roman" w:hAnsi="Times New Roman" w:cs="Times New Roman"/>
          <w:i/>
          <w:iCs/>
          <w:sz w:val="20"/>
          <w:szCs w:val="24"/>
          <w:lang w:eastAsia="pl-PL"/>
        </w:rPr>
        <w:t>Doradca nauczyciela sześciolatka</w:t>
      </w:r>
      <w:r w:rsidRPr="006627F5">
        <w:rPr>
          <w:rFonts w:ascii="Times New Roman" w:eastAsia="Times New Roman" w:hAnsi="Times New Roman" w:cs="Times New Roman"/>
          <w:sz w:val="20"/>
          <w:szCs w:val="24"/>
          <w:lang w:eastAsia="pl-PL"/>
        </w:rPr>
        <w:t xml:space="preserve"> CMPPP, Warszawa</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proofErr w:type="spellStart"/>
      <w:r w:rsidRPr="006627F5">
        <w:rPr>
          <w:rFonts w:ascii="Times New Roman" w:eastAsia="Times New Roman" w:hAnsi="Times New Roman" w:cs="Times New Roman"/>
          <w:sz w:val="20"/>
          <w:szCs w:val="24"/>
          <w:lang w:eastAsia="pl-PL"/>
        </w:rPr>
        <w:lastRenderedPageBreak/>
        <w:t>Oszwa</w:t>
      </w:r>
      <w:proofErr w:type="spellEnd"/>
      <w:r w:rsidRPr="006627F5">
        <w:rPr>
          <w:rFonts w:ascii="Times New Roman" w:eastAsia="Times New Roman" w:hAnsi="Times New Roman" w:cs="Times New Roman"/>
          <w:sz w:val="20"/>
          <w:szCs w:val="24"/>
          <w:lang w:eastAsia="pl-PL"/>
        </w:rPr>
        <w:t xml:space="preserve"> U. (2008) </w:t>
      </w:r>
      <w:r w:rsidRPr="006627F5">
        <w:rPr>
          <w:rFonts w:ascii="Times New Roman" w:eastAsia="Times New Roman" w:hAnsi="Times New Roman" w:cs="Times New Roman"/>
          <w:i/>
          <w:iCs/>
          <w:sz w:val="20"/>
          <w:szCs w:val="24"/>
          <w:lang w:eastAsia="pl-PL"/>
        </w:rPr>
        <w:t xml:space="preserve">Psychologia trudności arytmetycznych u dzieci. Doniesienia z badań </w:t>
      </w:r>
      <w:r w:rsidRPr="006627F5">
        <w:rPr>
          <w:rFonts w:ascii="Times New Roman" w:eastAsia="Times New Roman" w:hAnsi="Times New Roman" w:cs="Times New Roman"/>
          <w:sz w:val="20"/>
          <w:szCs w:val="24"/>
          <w:lang w:eastAsia="pl-PL"/>
        </w:rPr>
        <w:t>Oficyna Wydawnicza IMPULS, Kraków</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proofErr w:type="spellStart"/>
      <w:r w:rsidRPr="006627F5">
        <w:rPr>
          <w:rFonts w:ascii="Times New Roman" w:eastAsia="Times New Roman" w:hAnsi="Times New Roman" w:cs="Times New Roman"/>
          <w:sz w:val="20"/>
          <w:szCs w:val="24"/>
          <w:lang w:eastAsia="pl-PL"/>
        </w:rPr>
        <w:t>Oszwa</w:t>
      </w:r>
      <w:proofErr w:type="spellEnd"/>
      <w:r w:rsidRPr="006627F5">
        <w:rPr>
          <w:rFonts w:ascii="Times New Roman" w:eastAsia="Times New Roman" w:hAnsi="Times New Roman" w:cs="Times New Roman"/>
          <w:sz w:val="20"/>
          <w:szCs w:val="24"/>
          <w:lang w:eastAsia="pl-PL"/>
        </w:rPr>
        <w:t xml:space="preserve"> U. (2008) </w:t>
      </w:r>
      <w:r w:rsidRPr="006627F5">
        <w:rPr>
          <w:rFonts w:ascii="Times New Roman" w:eastAsia="Times New Roman" w:hAnsi="Times New Roman" w:cs="Times New Roman"/>
          <w:i/>
          <w:iCs/>
          <w:sz w:val="20"/>
          <w:szCs w:val="24"/>
          <w:lang w:eastAsia="pl-PL"/>
        </w:rPr>
        <w:t>Wczesna diagnoza dziecięcych trudności w liczeniu. Wybrane zagadnienia</w:t>
      </w:r>
      <w:r w:rsidRPr="006627F5">
        <w:rPr>
          <w:rFonts w:ascii="Times New Roman" w:eastAsia="Times New Roman" w:hAnsi="Times New Roman" w:cs="Times New Roman"/>
          <w:sz w:val="20"/>
          <w:szCs w:val="24"/>
          <w:lang w:eastAsia="pl-PL"/>
        </w:rPr>
        <w:t xml:space="preserve"> Oficyna Wydawnicza IMPULS, Kraków</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r w:rsidRPr="006627F5">
        <w:rPr>
          <w:rFonts w:ascii="Times New Roman" w:eastAsia="Times New Roman" w:hAnsi="Times New Roman" w:cs="Times New Roman"/>
          <w:sz w:val="14"/>
          <w:szCs w:val="14"/>
          <w:lang w:eastAsia="pl-PL"/>
        </w:rPr>
        <w:t> </w:t>
      </w:r>
      <w:r w:rsidRPr="006627F5">
        <w:rPr>
          <w:rFonts w:ascii="Times New Roman" w:eastAsia="Times New Roman" w:hAnsi="Times New Roman" w:cs="Times New Roman"/>
          <w:sz w:val="20"/>
          <w:szCs w:val="24"/>
          <w:lang w:eastAsia="pl-PL"/>
        </w:rPr>
        <w:t xml:space="preserve">Siwek H. (1998) </w:t>
      </w:r>
      <w:r w:rsidRPr="006627F5">
        <w:rPr>
          <w:rFonts w:ascii="Times New Roman" w:eastAsia="Times New Roman" w:hAnsi="Times New Roman" w:cs="Times New Roman"/>
          <w:i/>
          <w:iCs/>
          <w:sz w:val="20"/>
          <w:szCs w:val="24"/>
          <w:lang w:eastAsia="pl-PL"/>
        </w:rPr>
        <w:t xml:space="preserve">Czynnościowe nauczanie matematyki </w:t>
      </w:r>
      <w:r w:rsidRPr="006627F5">
        <w:rPr>
          <w:rFonts w:ascii="Times New Roman" w:eastAsia="Times New Roman" w:hAnsi="Times New Roman" w:cs="Times New Roman"/>
          <w:sz w:val="20"/>
          <w:szCs w:val="24"/>
          <w:lang w:eastAsia="pl-PL"/>
        </w:rPr>
        <w:t>WSiP, Warszawa</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proofErr w:type="spellStart"/>
      <w:r w:rsidRPr="006627F5">
        <w:rPr>
          <w:rFonts w:ascii="Times New Roman" w:eastAsia="Times New Roman" w:hAnsi="Times New Roman" w:cs="Times New Roman"/>
          <w:sz w:val="20"/>
          <w:szCs w:val="24"/>
          <w:lang w:eastAsia="pl-PL"/>
        </w:rPr>
        <w:t>Wadsworth</w:t>
      </w:r>
      <w:proofErr w:type="spellEnd"/>
      <w:r w:rsidRPr="006627F5">
        <w:rPr>
          <w:rFonts w:ascii="Times New Roman" w:eastAsia="Times New Roman" w:hAnsi="Times New Roman" w:cs="Times New Roman"/>
          <w:sz w:val="20"/>
          <w:szCs w:val="24"/>
          <w:lang w:eastAsia="pl-PL"/>
        </w:rPr>
        <w:t xml:space="preserve"> B. (1998) </w:t>
      </w:r>
      <w:r w:rsidRPr="006627F5">
        <w:rPr>
          <w:rFonts w:ascii="Times New Roman" w:eastAsia="Times New Roman" w:hAnsi="Times New Roman" w:cs="Times New Roman"/>
          <w:i/>
          <w:iCs/>
          <w:sz w:val="20"/>
          <w:szCs w:val="24"/>
          <w:lang w:eastAsia="pl-PL"/>
        </w:rPr>
        <w:t xml:space="preserve">Teoria Piageta. Poznawczy i emocjonalny rozwój dziecka </w:t>
      </w:r>
      <w:r w:rsidRPr="006627F5">
        <w:rPr>
          <w:rFonts w:ascii="Times New Roman" w:eastAsia="Times New Roman" w:hAnsi="Times New Roman" w:cs="Times New Roman"/>
          <w:sz w:val="20"/>
          <w:szCs w:val="24"/>
          <w:lang w:eastAsia="pl-PL"/>
        </w:rPr>
        <w:t>WSiP, Warszawa</w:t>
      </w:r>
    </w:p>
    <w:p w:rsidR="006627F5" w:rsidRPr="006627F5" w:rsidRDefault="006627F5" w:rsidP="006627F5">
      <w:pPr>
        <w:numPr>
          <w:ilvl w:val="0"/>
          <w:numId w:val="4"/>
        </w:numPr>
        <w:spacing w:before="100" w:beforeAutospacing="1" w:after="100" w:afterAutospacing="1" w:line="360" w:lineRule="auto"/>
        <w:ind w:left="1080"/>
        <w:contextualSpacing/>
        <w:jc w:val="both"/>
        <w:rPr>
          <w:rFonts w:ascii="Times New Roman" w:eastAsia="Times New Roman" w:hAnsi="Times New Roman" w:cs="Times New Roman"/>
          <w:sz w:val="24"/>
          <w:szCs w:val="24"/>
          <w:lang w:eastAsia="pl-PL"/>
        </w:rPr>
      </w:pPr>
      <w:proofErr w:type="spellStart"/>
      <w:r w:rsidRPr="006627F5">
        <w:rPr>
          <w:rFonts w:ascii="Times New Roman" w:eastAsia="Times New Roman" w:hAnsi="Times New Roman" w:cs="Times New Roman"/>
          <w:sz w:val="20"/>
          <w:szCs w:val="24"/>
          <w:lang w:eastAsia="pl-PL"/>
        </w:rPr>
        <w:t>Wilgocka</w:t>
      </w:r>
      <w:proofErr w:type="spellEnd"/>
      <w:r w:rsidRPr="006627F5">
        <w:rPr>
          <w:rFonts w:ascii="Times New Roman" w:eastAsia="Times New Roman" w:hAnsi="Times New Roman" w:cs="Times New Roman"/>
          <w:sz w:val="20"/>
          <w:szCs w:val="24"/>
          <w:lang w:eastAsia="pl-PL"/>
        </w:rPr>
        <w:t xml:space="preserve"> - Okoń B. (2003) </w:t>
      </w:r>
      <w:r w:rsidRPr="006627F5">
        <w:rPr>
          <w:rFonts w:ascii="Times New Roman" w:eastAsia="Times New Roman" w:hAnsi="Times New Roman" w:cs="Times New Roman"/>
          <w:i/>
          <w:iCs/>
          <w:sz w:val="20"/>
          <w:szCs w:val="24"/>
          <w:lang w:eastAsia="pl-PL"/>
        </w:rPr>
        <w:t>Gotowość szkolna dzieci sześcioletnich</w:t>
      </w:r>
      <w:r w:rsidRPr="006627F5">
        <w:rPr>
          <w:rFonts w:ascii="Times New Roman" w:eastAsia="Times New Roman" w:hAnsi="Times New Roman" w:cs="Times New Roman"/>
          <w:sz w:val="20"/>
          <w:szCs w:val="24"/>
          <w:lang w:eastAsia="pl-PL"/>
        </w:rPr>
        <w:t xml:space="preserve"> Wyd. Akademickie "Żak", Warszawa</w:t>
      </w:r>
    </w:p>
    <w:p w:rsidR="006627F5" w:rsidRDefault="006627F5"/>
    <w:sectPr w:rsidR="00662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436"/>
    <w:multiLevelType w:val="multilevel"/>
    <w:tmpl w:val="88CA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02256"/>
    <w:multiLevelType w:val="multilevel"/>
    <w:tmpl w:val="FF6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034EF"/>
    <w:multiLevelType w:val="multilevel"/>
    <w:tmpl w:val="F8B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A09BA"/>
    <w:multiLevelType w:val="multilevel"/>
    <w:tmpl w:val="AA4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7F5"/>
    <w:rsid w:val="0004264F"/>
    <w:rsid w:val="00441DE1"/>
    <w:rsid w:val="006627F5"/>
    <w:rsid w:val="00B450BE"/>
    <w:rsid w:val="00B63F6D"/>
    <w:rsid w:val="00B81E68"/>
    <w:rsid w:val="00BD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2059"/>
  <w15:docId w15:val="{8EF2E5A1-93C7-42A4-8F42-CFECB7DB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6648">
      <w:bodyDiv w:val="1"/>
      <w:marLeft w:val="0"/>
      <w:marRight w:val="0"/>
      <w:marTop w:val="0"/>
      <w:marBottom w:val="0"/>
      <w:divBdr>
        <w:top w:val="none" w:sz="0" w:space="0" w:color="auto"/>
        <w:left w:val="none" w:sz="0" w:space="0" w:color="auto"/>
        <w:bottom w:val="none" w:sz="0" w:space="0" w:color="auto"/>
        <w:right w:val="none" w:sz="0" w:space="0" w:color="auto"/>
      </w:divBdr>
      <w:divsChild>
        <w:div w:id="1660111649">
          <w:marLeft w:val="0"/>
          <w:marRight w:val="0"/>
          <w:marTop w:val="0"/>
          <w:marBottom w:val="0"/>
          <w:divBdr>
            <w:top w:val="none" w:sz="0" w:space="0" w:color="auto"/>
            <w:left w:val="none" w:sz="0" w:space="0" w:color="auto"/>
            <w:bottom w:val="none" w:sz="0" w:space="0" w:color="auto"/>
            <w:right w:val="none" w:sz="0" w:space="0" w:color="auto"/>
          </w:divBdr>
        </w:div>
        <w:div w:id="1289238207">
          <w:marLeft w:val="0"/>
          <w:marRight w:val="0"/>
          <w:marTop w:val="0"/>
          <w:marBottom w:val="0"/>
          <w:divBdr>
            <w:top w:val="none" w:sz="0" w:space="0" w:color="auto"/>
            <w:left w:val="none" w:sz="0" w:space="0" w:color="auto"/>
            <w:bottom w:val="none" w:sz="0" w:space="0" w:color="auto"/>
            <w:right w:val="none" w:sz="0" w:space="0" w:color="auto"/>
          </w:divBdr>
        </w:div>
        <w:div w:id="1202472567">
          <w:marLeft w:val="0"/>
          <w:marRight w:val="0"/>
          <w:marTop w:val="0"/>
          <w:marBottom w:val="0"/>
          <w:divBdr>
            <w:top w:val="none" w:sz="0" w:space="0" w:color="auto"/>
            <w:left w:val="none" w:sz="0" w:space="0" w:color="auto"/>
            <w:bottom w:val="none" w:sz="0" w:space="0" w:color="auto"/>
            <w:right w:val="none" w:sz="0" w:space="0" w:color="auto"/>
          </w:divBdr>
        </w:div>
        <w:div w:id="712536656">
          <w:marLeft w:val="0"/>
          <w:marRight w:val="0"/>
          <w:marTop w:val="0"/>
          <w:marBottom w:val="0"/>
          <w:divBdr>
            <w:top w:val="none" w:sz="0" w:space="0" w:color="auto"/>
            <w:left w:val="none" w:sz="0" w:space="0" w:color="auto"/>
            <w:bottom w:val="none" w:sz="0" w:space="0" w:color="auto"/>
            <w:right w:val="none" w:sz="0" w:space="0" w:color="auto"/>
          </w:divBdr>
        </w:div>
        <w:div w:id="12388099">
          <w:marLeft w:val="0"/>
          <w:marRight w:val="0"/>
          <w:marTop w:val="0"/>
          <w:marBottom w:val="0"/>
          <w:divBdr>
            <w:top w:val="none" w:sz="0" w:space="0" w:color="auto"/>
            <w:left w:val="none" w:sz="0" w:space="0" w:color="auto"/>
            <w:bottom w:val="none" w:sz="0" w:space="0" w:color="auto"/>
            <w:right w:val="none" w:sz="0" w:space="0" w:color="auto"/>
          </w:divBdr>
        </w:div>
        <w:div w:id="2022513050">
          <w:marLeft w:val="0"/>
          <w:marRight w:val="0"/>
          <w:marTop w:val="0"/>
          <w:marBottom w:val="0"/>
          <w:divBdr>
            <w:top w:val="none" w:sz="0" w:space="0" w:color="auto"/>
            <w:left w:val="none" w:sz="0" w:space="0" w:color="auto"/>
            <w:bottom w:val="none" w:sz="0" w:space="0" w:color="auto"/>
            <w:right w:val="none" w:sz="0" w:space="0" w:color="auto"/>
          </w:divBdr>
        </w:div>
        <w:div w:id="1232471838">
          <w:marLeft w:val="0"/>
          <w:marRight w:val="0"/>
          <w:marTop w:val="0"/>
          <w:marBottom w:val="0"/>
          <w:divBdr>
            <w:top w:val="none" w:sz="0" w:space="0" w:color="auto"/>
            <w:left w:val="none" w:sz="0" w:space="0" w:color="auto"/>
            <w:bottom w:val="none" w:sz="0" w:space="0" w:color="auto"/>
            <w:right w:val="none" w:sz="0" w:space="0" w:color="auto"/>
          </w:divBdr>
        </w:div>
        <w:div w:id="83843597">
          <w:marLeft w:val="0"/>
          <w:marRight w:val="0"/>
          <w:marTop w:val="0"/>
          <w:marBottom w:val="0"/>
          <w:divBdr>
            <w:top w:val="none" w:sz="0" w:space="0" w:color="auto"/>
            <w:left w:val="none" w:sz="0" w:space="0" w:color="auto"/>
            <w:bottom w:val="none" w:sz="0" w:space="0" w:color="auto"/>
            <w:right w:val="none" w:sz="0" w:space="0" w:color="auto"/>
          </w:divBdr>
        </w:div>
        <w:div w:id="965895915">
          <w:marLeft w:val="0"/>
          <w:marRight w:val="0"/>
          <w:marTop w:val="0"/>
          <w:marBottom w:val="0"/>
          <w:divBdr>
            <w:top w:val="none" w:sz="0" w:space="0" w:color="auto"/>
            <w:left w:val="none" w:sz="0" w:space="0" w:color="auto"/>
            <w:bottom w:val="none" w:sz="0" w:space="0" w:color="auto"/>
            <w:right w:val="none" w:sz="0" w:space="0" w:color="auto"/>
          </w:divBdr>
        </w:div>
        <w:div w:id="1824589068">
          <w:marLeft w:val="0"/>
          <w:marRight w:val="0"/>
          <w:marTop w:val="0"/>
          <w:marBottom w:val="0"/>
          <w:divBdr>
            <w:top w:val="none" w:sz="0" w:space="0" w:color="auto"/>
            <w:left w:val="none" w:sz="0" w:space="0" w:color="auto"/>
            <w:bottom w:val="none" w:sz="0" w:space="0" w:color="auto"/>
            <w:right w:val="none" w:sz="0" w:space="0" w:color="auto"/>
          </w:divBdr>
        </w:div>
        <w:div w:id="741415682">
          <w:marLeft w:val="0"/>
          <w:marRight w:val="0"/>
          <w:marTop w:val="0"/>
          <w:marBottom w:val="0"/>
          <w:divBdr>
            <w:top w:val="none" w:sz="0" w:space="0" w:color="auto"/>
            <w:left w:val="none" w:sz="0" w:space="0" w:color="auto"/>
            <w:bottom w:val="none" w:sz="0" w:space="0" w:color="auto"/>
            <w:right w:val="none" w:sz="0" w:space="0" w:color="auto"/>
          </w:divBdr>
        </w:div>
        <w:div w:id="944461662">
          <w:marLeft w:val="0"/>
          <w:marRight w:val="0"/>
          <w:marTop w:val="0"/>
          <w:marBottom w:val="0"/>
          <w:divBdr>
            <w:top w:val="none" w:sz="0" w:space="0" w:color="auto"/>
            <w:left w:val="none" w:sz="0" w:space="0" w:color="auto"/>
            <w:bottom w:val="none" w:sz="0" w:space="0" w:color="auto"/>
            <w:right w:val="none" w:sz="0" w:space="0" w:color="auto"/>
          </w:divBdr>
        </w:div>
        <w:div w:id="1547912591">
          <w:marLeft w:val="0"/>
          <w:marRight w:val="0"/>
          <w:marTop w:val="0"/>
          <w:marBottom w:val="0"/>
          <w:divBdr>
            <w:top w:val="none" w:sz="0" w:space="0" w:color="auto"/>
            <w:left w:val="none" w:sz="0" w:space="0" w:color="auto"/>
            <w:bottom w:val="none" w:sz="0" w:space="0" w:color="auto"/>
            <w:right w:val="none" w:sz="0" w:space="0" w:color="auto"/>
          </w:divBdr>
        </w:div>
        <w:div w:id="418868850">
          <w:marLeft w:val="0"/>
          <w:marRight w:val="0"/>
          <w:marTop w:val="0"/>
          <w:marBottom w:val="0"/>
          <w:divBdr>
            <w:top w:val="none" w:sz="0" w:space="0" w:color="auto"/>
            <w:left w:val="none" w:sz="0" w:space="0" w:color="auto"/>
            <w:bottom w:val="none" w:sz="0" w:space="0" w:color="auto"/>
            <w:right w:val="none" w:sz="0" w:space="0" w:color="auto"/>
          </w:divBdr>
        </w:div>
        <w:div w:id="938833876">
          <w:marLeft w:val="0"/>
          <w:marRight w:val="0"/>
          <w:marTop w:val="0"/>
          <w:marBottom w:val="0"/>
          <w:divBdr>
            <w:top w:val="none" w:sz="0" w:space="0" w:color="auto"/>
            <w:left w:val="none" w:sz="0" w:space="0" w:color="auto"/>
            <w:bottom w:val="none" w:sz="0" w:space="0" w:color="auto"/>
            <w:right w:val="none" w:sz="0" w:space="0" w:color="auto"/>
          </w:divBdr>
        </w:div>
        <w:div w:id="542596030">
          <w:marLeft w:val="0"/>
          <w:marRight w:val="0"/>
          <w:marTop w:val="0"/>
          <w:marBottom w:val="0"/>
          <w:divBdr>
            <w:top w:val="none" w:sz="0" w:space="0" w:color="auto"/>
            <w:left w:val="none" w:sz="0" w:space="0" w:color="auto"/>
            <w:bottom w:val="none" w:sz="0" w:space="0" w:color="auto"/>
            <w:right w:val="none" w:sz="0" w:space="0" w:color="auto"/>
          </w:divBdr>
        </w:div>
        <w:div w:id="897858808">
          <w:marLeft w:val="0"/>
          <w:marRight w:val="0"/>
          <w:marTop w:val="0"/>
          <w:marBottom w:val="0"/>
          <w:divBdr>
            <w:top w:val="none" w:sz="0" w:space="0" w:color="auto"/>
            <w:left w:val="none" w:sz="0" w:space="0" w:color="auto"/>
            <w:bottom w:val="none" w:sz="0" w:space="0" w:color="auto"/>
            <w:right w:val="none" w:sz="0" w:space="0" w:color="auto"/>
          </w:divBdr>
        </w:div>
        <w:div w:id="410393774">
          <w:marLeft w:val="0"/>
          <w:marRight w:val="0"/>
          <w:marTop w:val="0"/>
          <w:marBottom w:val="0"/>
          <w:divBdr>
            <w:top w:val="none" w:sz="0" w:space="0" w:color="auto"/>
            <w:left w:val="none" w:sz="0" w:space="0" w:color="auto"/>
            <w:bottom w:val="none" w:sz="0" w:space="0" w:color="auto"/>
            <w:right w:val="none" w:sz="0" w:space="0" w:color="auto"/>
          </w:divBdr>
        </w:div>
        <w:div w:id="995062658">
          <w:marLeft w:val="0"/>
          <w:marRight w:val="0"/>
          <w:marTop w:val="0"/>
          <w:marBottom w:val="0"/>
          <w:divBdr>
            <w:top w:val="none" w:sz="0" w:space="0" w:color="auto"/>
            <w:left w:val="none" w:sz="0" w:space="0" w:color="auto"/>
            <w:bottom w:val="none" w:sz="0" w:space="0" w:color="auto"/>
            <w:right w:val="none" w:sz="0" w:space="0" w:color="auto"/>
          </w:divBdr>
        </w:div>
        <w:div w:id="2065716623">
          <w:marLeft w:val="0"/>
          <w:marRight w:val="0"/>
          <w:marTop w:val="0"/>
          <w:marBottom w:val="0"/>
          <w:divBdr>
            <w:top w:val="none" w:sz="0" w:space="0" w:color="auto"/>
            <w:left w:val="none" w:sz="0" w:space="0" w:color="auto"/>
            <w:bottom w:val="none" w:sz="0" w:space="0" w:color="auto"/>
            <w:right w:val="none" w:sz="0" w:space="0" w:color="auto"/>
          </w:divBdr>
        </w:div>
        <w:div w:id="1880512202">
          <w:marLeft w:val="0"/>
          <w:marRight w:val="0"/>
          <w:marTop w:val="0"/>
          <w:marBottom w:val="0"/>
          <w:divBdr>
            <w:top w:val="none" w:sz="0" w:space="0" w:color="auto"/>
            <w:left w:val="none" w:sz="0" w:space="0" w:color="auto"/>
            <w:bottom w:val="none" w:sz="0" w:space="0" w:color="auto"/>
            <w:right w:val="none" w:sz="0" w:space="0" w:color="auto"/>
          </w:divBdr>
        </w:div>
        <w:div w:id="764228501">
          <w:marLeft w:val="0"/>
          <w:marRight w:val="0"/>
          <w:marTop w:val="0"/>
          <w:marBottom w:val="0"/>
          <w:divBdr>
            <w:top w:val="none" w:sz="0" w:space="0" w:color="auto"/>
            <w:left w:val="none" w:sz="0" w:space="0" w:color="auto"/>
            <w:bottom w:val="none" w:sz="0" w:space="0" w:color="auto"/>
            <w:right w:val="none" w:sz="0" w:space="0" w:color="auto"/>
          </w:divBdr>
        </w:div>
        <w:div w:id="2077509649">
          <w:marLeft w:val="0"/>
          <w:marRight w:val="0"/>
          <w:marTop w:val="0"/>
          <w:marBottom w:val="0"/>
          <w:divBdr>
            <w:top w:val="none" w:sz="0" w:space="0" w:color="auto"/>
            <w:left w:val="none" w:sz="0" w:space="0" w:color="auto"/>
            <w:bottom w:val="none" w:sz="0" w:space="0" w:color="auto"/>
            <w:right w:val="none" w:sz="0" w:space="0" w:color="auto"/>
          </w:divBdr>
        </w:div>
        <w:div w:id="1656832803">
          <w:marLeft w:val="0"/>
          <w:marRight w:val="0"/>
          <w:marTop w:val="0"/>
          <w:marBottom w:val="0"/>
          <w:divBdr>
            <w:top w:val="none" w:sz="0" w:space="0" w:color="auto"/>
            <w:left w:val="none" w:sz="0" w:space="0" w:color="auto"/>
            <w:bottom w:val="none" w:sz="0" w:space="0" w:color="auto"/>
            <w:right w:val="none" w:sz="0" w:space="0" w:color="auto"/>
          </w:divBdr>
        </w:div>
        <w:div w:id="711224889">
          <w:marLeft w:val="0"/>
          <w:marRight w:val="0"/>
          <w:marTop w:val="0"/>
          <w:marBottom w:val="0"/>
          <w:divBdr>
            <w:top w:val="none" w:sz="0" w:space="0" w:color="auto"/>
            <w:left w:val="none" w:sz="0" w:space="0" w:color="auto"/>
            <w:bottom w:val="none" w:sz="0" w:space="0" w:color="auto"/>
            <w:right w:val="none" w:sz="0" w:space="0" w:color="auto"/>
          </w:divBdr>
        </w:div>
        <w:div w:id="626201856">
          <w:marLeft w:val="0"/>
          <w:marRight w:val="0"/>
          <w:marTop w:val="0"/>
          <w:marBottom w:val="0"/>
          <w:divBdr>
            <w:top w:val="none" w:sz="0" w:space="0" w:color="auto"/>
            <w:left w:val="none" w:sz="0" w:space="0" w:color="auto"/>
            <w:bottom w:val="none" w:sz="0" w:space="0" w:color="auto"/>
            <w:right w:val="none" w:sz="0" w:space="0" w:color="auto"/>
          </w:divBdr>
        </w:div>
        <w:div w:id="142665463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1368</Words>
  <Characters>8209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2018-01-02T13:48:00Z</dcterms:created>
  <dcterms:modified xsi:type="dcterms:W3CDTF">2020-01-21T12:37:00Z</dcterms:modified>
</cp:coreProperties>
</file>